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6E" w:rsidRDefault="009E706E"/>
    <w:p w:rsidR="000B643C" w:rsidRPr="00AC63CB" w:rsidRDefault="000B643C">
      <w:pPr>
        <w:rPr>
          <w:rFonts w:ascii="Arial" w:hAnsi="Arial" w:cs="Arial"/>
          <w:b/>
        </w:rPr>
      </w:pPr>
      <w:r w:rsidRPr="00AC63CB">
        <w:rPr>
          <w:rFonts w:ascii="Arial" w:hAnsi="Arial" w:cs="Arial"/>
          <w:b/>
        </w:rPr>
        <w:t>ESCC’s Environment Strategy</w:t>
      </w:r>
      <w:r w:rsidR="00691862" w:rsidRPr="00AC63CB">
        <w:rPr>
          <w:rFonts w:ascii="Arial" w:hAnsi="Arial" w:cs="Arial"/>
          <w:b/>
        </w:rPr>
        <w:t>; At pace &amp; at scale’</w:t>
      </w:r>
      <w:r w:rsidRPr="00AC63CB">
        <w:rPr>
          <w:rFonts w:ascii="Arial" w:hAnsi="Arial" w:cs="Arial"/>
          <w:b/>
        </w:rPr>
        <w:t xml:space="preserve"> (2020)</w:t>
      </w:r>
    </w:p>
    <w:p w:rsidR="004C23A5" w:rsidRPr="000B643C" w:rsidRDefault="004C23A5">
      <w:pPr>
        <w:rPr>
          <w:b/>
        </w:rPr>
      </w:pPr>
      <w:r>
        <w:rPr>
          <w:noProof/>
          <w:lang w:eastAsia="en-GB"/>
        </w:rPr>
        <w:drawing>
          <wp:inline distT="0" distB="0" distL="0" distR="0" wp14:anchorId="2BB6AA66" wp14:editId="26216037">
            <wp:extent cx="1306286" cy="1901974"/>
            <wp:effectExtent l="0" t="0" r="825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07434" cy="1903645"/>
                    </a:xfrm>
                    <a:prstGeom prst="rect">
                      <a:avLst/>
                    </a:prstGeom>
                  </pic:spPr>
                </pic:pic>
              </a:graphicData>
            </a:graphic>
          </wp:inline>
        </w:drawing>
      </w:r>
    </w:p>
    <w:p w:rsidR="007B6740" w:rsidRPr="00196BAD" w:rsidRDefault="000B643C" w:rsidP="004C23A5">
      <w:pPr>
        <w:jc w:val="both"/>
        <w:rPr>
          <w:rFonts w:ascii="Arial" w:hAnsi="Arial" w:cs="Arial"/>
        </w:rPr>
      </w:pPr>
      <w:r w:rsidRPr="00196BAD">
        <w:rPr>
          <w:rFonts w:ascii="Arial" w:hAnsi="Arial" w:cs="Arial"/>
        </w:rPr>
        <w:t xml:space="preserve">The ESCC Environment Strategy was published in two parts in 2020, the </w:t>
      </w:r>
      <w:r w:rsidR="00196BAD">
        <w:rPr>
          <w:rFonts w:ascii="Arial" w:hAnsi="Arial" w:cs="Arial"/>
        </w:rPr>
        <w:t>S</w:t>
      </w:r>
      <w:r w:rsidRPr="00196BAD">
        <w:rPr>
          <w:rFonts w:ascii="Arial" w:hAnsi="Arial" w:cs="Arial"/>
        </w:rPr>
        <w:t>trategy (16pp) and the Appendix (38pp) dated March 2</w:t>
      </w:r>
      <w:r w:rsidR="00196BAD">
        <w:rPr>
          <w:rFonts w:ascii="Arial" w:hAnsi="Arial" w:cs="Arial"/>
        </w:rPr>
        <w:t>020 and June 2020 respectively.</w:t>
      </w:r>
      <w:r w:rsidR="004C23A5" w:rsidRPr="00196BAD">
        <w:rPr>
          <w:rStyle w:val="FootnoteReference"/>
          <w:rFonts w:ascii="Arial" w:hAnsi="Arial" w:cs="Arial"/>
        </w:rPr>
        <w:footnoteReference w:id="1"/>
      </w:r>
      <w:r w:rsidR="007B6740" w:rsidRPr="00196BAD">
        <w:rPr>
          <w:rFonts w:ascii="Arial" w:hAnsi="Arial" w:cs="Arial"/>
        </w:rPr>
        <w:t xml:space="preserve"> </w:t>
      </w:r>
      <w:r w:rsidR="00196BAD">
        <w:rPr>
          <w:rFonts w:ascii="Arial" w:hAnsi="Arial" w:cs="Arial"/>
        </w:rPr>
        <w:t xml:space="preserve"> </w:t>
      </w:r>
      <w:r w:rsidR="007B6740" w:rsidRPr="00196BAD">
        <w:rPr>
          <w:rFonts w:ascii="Arial" w:hAnsi="Arial" w:cs="Arial"/>
        </w:rPr>
        <w:t xml:space="preserve">It replaces the first Environment Strategy for East Sussex adopted in 2011. </w:t>
      </w:r>
      <w:r w:rsidR="007B6740" w:rsidRPr="00196BAD">
        <w:rPr>
          <w:rFonts w:ascii="Arial" w:hAnsi="Arial" w:cs="Arial"/>
        </w:rPr>
        <w:t>A lot of rhetoric, national dilemmas, and UK concerns are repeated</w:t>
      </w:r>
      <w:r w:rsidR="00196BAD" w:rsidRPr="00196BAD">
        <w:rPr>
          <w:rFonts w:ascii="Arial" w:hAnsi="Arial" w:cs="Arial"/>
        </w:rPr>
        <w:t xml:space="preserve"> throughout this </w:t>
      </w:r>
      <w:r w:rsidR="00196BAD">
        <w:rPr>
          <w:rFonts w:ascii="Arial" w:hAnsi="Arial" w:cs="Arial"/>
        </w:rPr>
        <w:t xml:space="preserve">document. Turning to East Sussex, it states that </w:t>
      </w:r>
      <w:r w:rsidR="007B6740" w:rsidRPr="00196BAD">
        <w:rPr>
          <w:rFonts w:ascii="Arial" w:hAnsi="Arial" w:cs="Arial"/>
        </w:rPr>
        <w:t xml:space="preserve">470 species that are globally threatened </w:t>
      </w:r>
      <w:r w:rsidR="00196BAD">
        <w:rPr>
          <w:rFonts w:ascii="Arial" w:hAnsi="Arial" w:cs="Arial"/>
        </w:rPr>
        <w:t xml:space="preserve">in the county, </w:t>
      </w:r>
      <w:r w:rsidR="007B6740" w:rsidRPr="00196BAD">
        <w:rPr>
          <w:rFonts w:ascii="Arial" w:hAnsi="Arial" w:cs="Arial"/>
        </w:rPr>
        <w:t xml:space="preserve">or in rapid decline. The Strategy is </w:t>
      </w:r>
      <w:r w:rsidR="00196BAD">
        <w:rPr>
          <w:rFonts w:ascii="Arial" w:hAnsi="Arial" w:cs="Arial"/>
        </w:rPr>
        <w:t>updated to be</w:t>
      </w:r>
      <w:r w:rsidR="007B6740" w:rsidRPr="00196BAD">
        <w:rPr>
          <w:rFonts w:ascii="Arial" w:hAnsi="Arial" w:cs="Arial"/>
        </w:rPr>
        <w:t xml:space="preserve"> in line with </w:t>
      </w:r>
      <w:r w:rsidR="00196BAD">
        <w:rPr>
          <w:rFonts w:ascii="Arial" w:hAnsi="Arial" w:cs="Arial"/>
        </w:rPr>
        <w:t>t</w:t>
      </w:r>
      <w:r w:rsidR="007B6740" w:rsidRPr="00196BAD">
        <w:rPr>
          <w:rFonts w:ascii="Arial" w:hAnsi="Arial" w:cs="Arial"/>
        </w:rPr>
        <w:t>he 25 year Environment Plan (2018) and Parliament’s declaration of Climate Emergency in 2019</w:t>
      </w:r>
      <w:r w:rsidR="007B6740" w:rsidRPr="00196BAD">
        <w:rPr>
          <w:rFonts w:ascii="Arial" w:hAnsi="Arial" w:cs="Arial"/>
        </w:rPr>
        <w:t xml:space="preserve">. </w:t>
      </w:r>
    </w:p>
    <w:p w:rsidR="00EE4FBF" w:rsidRPr="00EE4FBF" w:rsidRDefault="007B6740" w:rsidP="00196BAD">
      <w:pPr>
        <w:jc w:val="both"/>
        <w:rPr>
          <w:rFonts w:ascii="Arial" w:hAnsi="Arial" w:cs="Arial"/>
          <w:i/>
        </w:rPr>
      </w:pPr>
      <w:r w:rsidRPr="00196BAD">
        <w:rPr>
          <w:rFonts w:ascii="Arial" w:hAnsi="Arial" w:cs="Arial"/>
        </w:rPr>
        <w:t xml:space="preserve">The Strategy’s vision is </w:t>
      </w:r>
      <w:r w:rsidR="000B643C" w:rsidRPr="00196BAD">
        <w:rPr>
          <w:rFonts w:ascii="Arial" w:hAnsi="Arial" w:cs="Arial"/>
        </w:rPr>
        <w:t>‘</w:t>
      </w:r>
      <w:r w:rsidR="000B643C" w:rsidRPr="00196BAD">
        <w:rPr>
          <w:rFonts w:ascii="Arial" w:hAnsi="Arial" w:cs="Arial"/>
          <w:i/>
        </w:rPr>
        <w:t>protect and enhance our natural and built environment for current and future generations and tackle and adapt to climate change</w:t>
      </w:r>
      <w:r w:rsidR="000B643C" w:rsidRPr="00196BAD">
        <w:rPr>
          <w:rFonts w:ascii="Arial" w:hAnsi="Arial" w:cs="Arial"/>
        </w:rPr>
        <w:t xml:space="preserve">.’ </w:t>
      </w:r>
      <w:r w:rsidRPr="00196BAD">
        <w:rPr>
          <w:rFonts w:ascii="Arial" w:hAnsi="Arial" w:cs="Arial"/>
        </w:rPr>
        <w:t xml:space="preserve"> That is a familiar mantra that goes back decades and is invested in UK law</w:t>
      </w:r>
      <w:r w:rsidR="00196BAD">
        <w:rPr>
          <w:rFonts w:ascii="Arial" w:hAnsi="Arial" w:cs="Arial"/>
        </w:rPr>
        <w:t>.</w:t>
      </w:r>
      <w:r w:rsidRPr="00196BAD">
        <w:rPr>
          <w:rFonts w:ascii="Arial" w:hAnsi="Arial" w:cs="Arial"/>
        </w:rPr>
        <w:t xml:space="preserve"> ‘conserve and </w:t>
      </w:r>
      <w:r w:rsidR="00196BAD">
        <w:rPr>
          <w:rFonts w:ascii="Arial" w:hAnsi="Arial" w:cs="Arial"/>
        </w:rPr>
        <w:t>enhance</w:t>
      </w:r>
      <w:r w:rsidRPr="00196BAD">
        <w:rPr>
          <w:rFonts w:ascii="Arial" w:hAnsi="Arial" w:cs="Arial"/>
        </w:rPr>
        <w:t xml:space="preserve">’. </w:t>
      </w:r>
      <w:r w:rsidR="000B643C" w:rsidRPr="00196BAD">
        <w:rPr>
          <w:rFonts w:ascii="Arial" w:hAnsi="Arial" w:cs="Arial"/>
        </w:rPr>
        <w:t xml:space="preserve">The Strategy is disappointing </w:t>
      </w:r>
      <w:r w:rsidR="004C23A5" w:rsidRPr="00196BAD">
        <w:rPr>
          <w:rFonts w:ascii="Arial" w:hAnsi="Arial" w:cs="Arial"/>
        </w:rPr>
        <w:t>in</w:t>
      </w:r>
      <w:r w:rsidR="000B643C" w:rsidRPr="00196BAD">
        <w:rPr>
          <w:rFonts w:ascii="Arial" w:hAnsi="Arial" w:cs="Arial"/>
        </w:rPr>
        <w:t xml:space="preserve"> what it does not cover. There are no references to </w:t>
      </w:r>
      <w:r w:rsidR="004C23A5" w:rsidRPr="00196BAD">
        <w:rPr>
          <w:rFonts w:ascii="Arial" w:hAnsi="Arial" w:cs="Arial"/>
        </w:rPr>
        <w:t>nature conservation or soil conservation, SSSIs,</w:t>
      </w:r>
      <w:r w:rsidR="000B643C" w:rsidRPr="00196BAD">
        <w:rPr>
          <w:rFonts w:ascii="Arial" w:hAnsi="Arial" w:cs="Arial"/>
        </w:rPr>
        <w:t xml:space="preserve"> BAPs, Ancient Woodland, Wood-pasture</w:t>
      </w:r>
      <w:r w:rsidR="004C23A5" w:rsidRPr="00196BAD">
        <w:rPr>
          <w:rFonts w:ascii="Arial" w:hAnsi="Arial" w:cs="Arial"/>
        </w:rPr>
        <w:t>,</w:t>
      </w:r>
      <w:r w:rsidR="000B643C" w:rsidRPr="00196BAD">
        <w:rPr>
          <w:rFonts w:ascii="Arial" w:hAnsi="Arial" w:cs="Arial"/>
        </w:rPr>
        <w:t xml:space="preserve"> or surprisingly </w:t>
      </w:r>
      <w:r w:rsidR="004C23A5" w:rsidRPr="00196BAD">
        <w:rPr>
          <w:rFonts w:ascii="Arial" w:hAnsi="Arial" w:cs="Arial"/>
        </w:rPr>
        <w:t xml:space="preserve">nothing major on </w:t>
      </w:r>
      <w:r w:rsidR="000B643C" w:rsidRPr="00196BAD">
        <w:rPr>
          <w:rFonts w:ascii="Arial" w:hAnsi="Arial" w:cs="Arial"/>
        </w:rPr>
        <w:t>biodiversit</w:t>
      </w:r>
      <w:r w:rsidR="004C23A5" w:rsidRPr="00196BAD">
        <w:rPr>
          <w:rFonts w:ascii="Arial" w:hAnsi="Arial" w:cs="Arial"/>
        </w:rPr>
        <w:t xml:space="preserve">y. </w:t>
      </w:r>
      <w:r w:rsidR="00EE4FBF">
        <w:rPr>
          <w:rFonts w:ascii="Arial" w:hAnsi="Arial" w:cs="Arial"/>
        </w:rPr>
        <w:t>It acknowledges the impact on woodlands in East Sussex (which has more than most counties), especially the impact on associated woodland habitats ‘</w:t>
      </w:r>
      <w:r w:rsidR="00EE4FBF" w:rsidRPr="00EE4FBF">
        <w:rPr>
          <w:rFonts w:ascii="Arial" w:hAnsi="Arial" w:cs="Arial"/>
          <w:i/>
        </w:rPr>
        <w:t>the loss of valued areas for recreation.’</w:t>
      </w:r>
    </w:p>
    <w:p w:rsidR="00196BAD" w:rsidRDefault="004C23A5" w:rsidP="00196BAD">
      <w:pPr>
        <w:jc w:val="both"/>
        <w:rPr>
          <w:rFonts w:ascii="Arial" w:hAnsi="Arial" w:cs="Arial"/>
        </w:rPr>
      </w:pPr>
      <w:r w:rsidRPr="00196BAD">
        <w:rPr>
          <w:rFonts w:ascii="Arial" w:hAnsi="Arial" w:cs="Arial"/>
        </w:rPr>
        <w:t xml:space="preserve">Natural Capital is mentioned, and is comprehensively dealt with in the Appendix; whilst everyone is nervously awaiting the result of the Environment Bill in its final deliberation on net gain in which way to jump.  </w:t>
      </w:r>
      <w:r w:rsidR="00196BAD">
        <w:rPr>
          <w:rFonts w:ascii="Arial" w:hAnsi="Arial" w:cs="Arial"/>
        </w:rPr>
        <w:t>Nationally</w:t>
      </w:r>
      <w:r w:rsidR="00EE4FBF">
        <w:rPr>
          <w:rFonts w:ascii="Arial" w:hAnsi="Arial" w:cs="Arial"/>
        </w:rPr>
        <w:t>,</w:t>
      </w:r>
      <w:r w:rsidR="00196BAD">
        <w:rPr>
          <w:rFonts w:ascii="Arial" w:hAnsi="Arial" w:cs="Arial"/>
        </w:rPr>
        <w:t xml:space="preserve"> it is interesting to note that OFWAT are aiming to ‘protect and improve at least 6,000km of waterways, and protect and improve 1,800ha of protected nature conservation sites by 2025. One hopes this will trickle down to East Sussex. </w:t>
      </w:r>
      <w:r w:rsidR="00196BAD">
        <w:rPr>
          <w:rFonts w:ascii="Arial" w:hAnsi="Arial" w:cs="Arial"/>
        </w:rPr>
        <w:t xml:space="preserve">This will clearly be a rolling strategy for East Sussex, but the document as presented, does not have a functioning feedback email address, and the Team Manager is aware of the various typos and states that further information on </w:t>
      </w:r>
      <w:r w:rsidR="00B15832">
        <w:rPr>
          <w:rFonts w:ascii="Arial" w:hAnsi="Arial" w:cs="Arial"/>
        </w:rPr>
        <w:t xml:space="preserve">nature conservation is to be </w:t>
      </w:r>
      <w:r w:rsidR="00B15832">
        <w:rPr>
          <w:rFonts w:ascii="Arial" w:hAnsi="Arial" w:cs="Arial"/>
        </w:rPr>
        <w:lastRenderedPageBreak/>
        <w:t>found in the Sussex Local Nature Partnership document ‘</w:t>
      </w:r>
      <w:r w:rsidR="00B15832" w:rsidRPr="00EE4FBF">
        <w:rPr>
          <w:rFonts w:ascii="Arial" w:hAnsi="Arial" w:cs="Arial"/>
          <w:i/>
        </w:rPr>
        <w:t>Natural Capital Investment Strategy for Sussex 2019-2024</w:t>
      </w:r>
      <w:r w:rsidR="00B15832">
        <w:rPr>
          <w:rFonts w:ascii="Arial" w:hAnsi="Arial" w:cs="Arial"/>
        </w:rPr>
        <w:t>.</w:t>
      </w:r>
      <w:r w:rsidR="00EE4FBF">
        <w:rPr>
          <w:rFonts w:ascii="Arial" w:hAnsi="Arial" w:cs="Arial"/>
        </w:rPr>
        <w:t>’</w:t>
      </w:r>
      <w:r w:rsidR="00B15832">
        <w:rPr>
          <w:rFonts w:ascii="Arial" w:hAnsi="Arial" w:cs="Arial"/>
        </w:rPr>
        <w:t xml:space="preserve"> </w:t>
      </w:r>
      <w:r w:rsidR="00196BAD">
        <w:rPr>
          <w:rFonts w:ascii="Arial" w:hAnsi="Arial" w:cs="Arial"/>
        </w:rPr>
        <w:t xml:space="preserve"> </w:t>
      </w:r>
      <w:r w:rsidR="00691862">
        <w:rPr>
          <w:rFonts w:ascii="Arial" w:hAnsi="Arial" w:cs="Arial"/>
        </w:rPr>
        <w:t xml:space="preserve">At present, it is a disappointing document. </w:t>
      </w:r>
    </w:p>
    <w:p w:rsidR="004C23A5" w:rsidRPr="00196BAD" w:rsidRDefault="004C23A5" w:rsidP="004C23A5">
      <w:pPr>
        <w:jc w:val="both"/>
        <w:rPr>
          <w:rFonts w:ascii="Arial" w:hAnsi="Arial" w:cs="Arial"/>
        </w:rPr>
      </w:pPr>
      <w:bookmarkStart w:id="0" w:name="_GoBack"/>
      <w:bookmarkEnd w:id="0"/>
    </w:p>
    <w:p w:rsidR="002B2EFB" w:rsidRDefault="002B2EFB" w:rsidP="004C23A5">
      <w:pPr>
        <w:jc w:val="both"/>
      </w:pPr>
    </w:p>
    <w:p w:rsidR="002B2EFB" w:rsidRDefault="002B2EFB" w:rsidP="004C23A5">
      <w:pPr>
        <w:jc w:val="both"/>
      </w:pPr>
    </w:p>
    <w:p w:rsidR="002B2EFB" w:rsidRDefault="002B2EFB" w:rsidP="004C23A5">
      <w:pPr>
        <w:jc w:val="both"/>
      </w:pPr>
    </w:p>
    <w:p w:rsidR="007B6740" w:rsidRDefault="007B6740" w:rsidP="004C23A5">
      <w:pPr>
        <w:jc w:val="both"/>
      </w:pPr>
    </w:p>
    <w:p w:rsidR="00196BAD" w:rsidRPr="00196BAD" w:rsidRDefault="00196BAD" w:rsidP="00196BAD">
      <w:pPr>
        <w:jc w:val="both"/>
        <w:rPr>
          <w:rFonts w:ascii="Arial" w:hAnsi="Arial" w:cs="Arial"/>
        </w:rPr>
      </w:pPr>
    </w:p>
    <w:p w:rsidR="000B643C" w:rsidRDefault="000B643C" w:rsidP="004C23A5">
      <w:pPr>
        <w:jc w:val="both"/>
      </w:pPr>
    </w:p>
    <w:p w:rsidR="000B643C" w:rsidRDefault="000B643C"/>
    <w:p w:rsidR="00DE37FA" w:rsidRDefault="007B6740">
      <w:r>
        <w:rPr>
          <w:noProof/>
          <w:lang w:eastAsia="en-GB"/>
        </w:rPr>
        <w:drawing>
          <wp:inline distT="0" distB="0" distL="0" distR="0" wp14:anchorId="0C979C9A" wp14:editId="2F5F64D0">
            <wp:extent cx="5731510" cy="5012707"/>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5012707"/>
                    </a:xfrm>
                    <a:prstGeom prst="rect">
                      <a:avLst/>
                    </a:prstGeom>
                  </pic:spPr>
                </pic:pic>
              </a:graphicData>
            </a:graphic>
          </wp:inline>
        </w:drawing>
      </w:r>
    </w:p>
    <w:p w:rsidR="00DE37FA" w:rsidRDefault="00DE37FA"/>
    <w:p w:rsidR="000B643C" w:rsidRDefault="000B643C"/>
    <w:p w:rsidR="000B643C" w:rsidRDefault="000B643C"/>
    <w:p w:rsidR="001A5F4D" w:rsidRDefault="00781192" w:rsidP="00781192">
      <w:pPr>
        <w:spacing w:line="240" w:lineRule="auto"/>
        <w:contextualSpacing/>
      </w:pPr>
      <w:r>
        <w:t xml:space="preserve">Sussex Local Nature Partnership 2019. Natural Capital Investment Strategy for Sussex, 2019-2024. </w:t>
      </w:r>
    </w:p>
    <w:p w:rsidR="00781192" w:rsidRDefault="00781192" w:rsidP="00781192">
      <w:r>
        <w:t xml:space="preserve">Sussex Local Nature Partnership 2019. 83pp. </w:t>
      </w:r>
      <w:hyperlink r:id="rId10" w:history="1">
        <w:r w:rsidRPr="006A160A">
          <w:rPr>
            <w:rStyle w:val="Hyperlink"/>
          </w:rPr>
          <w:t>http://sussexlnp.org.uk/wp-content/uploads/2019/12/Natural-Capital-Investment-Strategy_ADOPTED_Final_Dec2019.pdf</w:t>
        </w:r>
      </w:hyperlink>
    </w:p>
    <w:p w:rsidR="00781192" w:rsidRDefault="00781192" w:rsidP="00781192">
      <w:pPr>
        <w:spacing w:line="240" w:lineRule="auto"/>
        <w:contextualSpacing/>
      </w:pPr>
    </w:p>
    <w:p w:rsidR="004C23A5" w:rsidRDefault="004C23A5" w:rsidP="00781192">
      <w:pPr>
        <w:spacing w:line="240" w:lineRule="auto"/>
        <w:contextualSpacing/>
      </w:pPr>
    </w:p>
    <w:p w:rsidR="004C23A5" w:rsidRDefault="004C23A5" w:rsidP="00781192">
      <w:pPr>
        <w:spacing w:line="240" w:lineRule="auto"/>
        <w:contextualSpacing/>
      </w:pPr>
      <w:r>
        <w:rPr>
          <w:noProof/>
          <w:lang w:eastAsia="en-GB"/>
        </w:rPr>
        <w:drawing>
          <wp:inline distT="0" distB="0" distL="0" distR="0" wp14:anchorId="3CC10963" wp14:editId="7C780AE1">
            <wp:extent cx="3209925" cy="5419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09925" cy="5419725"/>
                    </a:xfrm>
                    <a:prstGeom prst="rect">
                      <a:avLst/>
                    </a:prstGeom>
                  </pic:spPr>
                </pic:pic>
              </a:graphicData>
            </a:graphic>
          </wp:inline>
        </w:drawing>
      </w:r>
    </w:p>
    <w:p w:rsidR="001A5F4D" w:rsidRDefault="001A5F4D">
      <w:r>
        <w:rPr>
          <w:noProof/>
          <w:lang w:eastAsia="en-GB"/>
        </w:rPr>
        <w:lastRenderedPageBreak/>
        <w:drawing>
          <wp:inline distT="0" distB="0" distL="0" distR="0" wp14:anchorId="08156645" wp14:editId="6FB50600">
            <wp:extent cx="5731510" cy="2276071"/>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276071"/>
                    </a:xfrm>
                    <a:prstGeom prst="rect">
                      <a:avLst/>
                    </a:prstGeom>
                  </pic:spPr>
                </pic:pic>
              </a:graphicData>
            </a:graphic>
          </wp:inline>
        </w:drawing>
      </w:r>
    </w:p>
    <w:p w:rsidR="001A5F4D" w:rsidRDefault="001A5F4D"/>
    <w:p w:rsidR="001A5F4D" w:rsidRDefault="001A5F4D">
      <w:r>
        <w:rPr>
          <w:noProof/>
          <w:lang w:eastAsia="en-GB"/>
        </w:rPr>
        <w:drawing>
          <wp:inline distT="0" distB="0" distL="0" distR="0" wp14:anchorId="2CB487AD" wp14:editId="5499D824">
            <wp:extent cx="3124200" cy="3381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24200" cy="3381375"/>
                    </a:xfrm>
                    <a:prstGeom prst="rect">
                      <a:avLst/>
                    </a:prstGeom>
                  </pic:spPr>
                </pic:pic>
              </a:graphicData>
            </a:graphic>
          </wp:inline>
        </w:drawing>
      </w:r>
    </w:p>
    <w:p w:rsidR="00DE37FA" w:rsidRDefault="002C7A12">
      <w:r>
        <w:rPr>
          <w:noProof/>
          <w:lang w:eastAsia="en-GB"/>
        </w:rPr>
        <w:lastRenderedPageBreak/>
        <w:drawing>
          <wp:inline distT="0" distB="0" distL="0" distR="0" wp14:anchorId="74FA6758" wp14:editId="6756CD67">
            <wp:extent cx="3057525" cy="1238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57525" cy="1238250"/>
                    </a:xfrm>
                    <a:prstGeom prst="rect">
                      <a:avLst/>
                    </a:prstGeom>
                  </pic:spPr>
                </pic:pic>
              </a:graphicData>
            </a:graphic>
          </wp:inline>
        </w:drawing>
      </w:r>
      <w:r w:rsidR="00AC53B8">
        <w:rPr>
          <w:noProof/>
          <w:lang w:eastAsia="en-GB"/>
        </w:rPr>
        <w:drawing>
          <wp:inline distT="0" distB="0" distL="0" distR="0" wp14:anchorId="17C7A99A" wp14:editId="61C23D0E">
            <wp:extent cx="3181350" cy="2209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81350" cy="2209800"/>
                    </a:xfrm>
                    <a:prstGeom prst="rect">
                      <a:avLst/>
                    </a:prstGeom>
                  </pic:spPr>
                </pic:pic>
              </a:graphicData>
            </a:graphic>
          </wp:inline>
        </w:drawing>
      </w:r>
    </w:p>
    <w:p w:rsidR="00DE37FA" w:rsidRDefault="001A5F4D">
      <w:r>
        <w:rPr>
          <w:noProof/>
          <w:lang w:eastAsia="en-GB"/>
        </w:rPr>
        <w:drawing>
          <wp:inline distT="0" distB="0" distL="0" distR="0" wp14:anchorId="33F5693C" wp14:editId="7EEE2502">
            <wp:extent cx="5731510" cy="90197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901978"/>
                    </a:xfrm>
                    <a:prstGeom prst="rect">
                      <a:avLst/>
                    </a:prstGeom>
                  </pic:spPr>
                </pic:pic>
              </a:graphicData>
            </a:graphic>
          </wp:inline>
        </w:drawing>
      </w:r>
    </w:p>
    <w:p w:rsidR="001A5F4D" w:rsidRDefault="001A5F4D"/>
    <w:p w:rsidR="001A5F4D" w:rsidRDefault="001A5F4D"/>
    <w:p w:rsidR="00DE37FA" w:rsidRDefault="00DE37FA">
      <w:r>
        <w:rPr>
          <w:noProof/>
          <w:lang w:eastAsia="en-GB"/>
        </w:rPr>
        <w:drawing>
          <wp:inline distT="0" distB="0" distL="0" distR="0" wp14:anchorId="59C416A7" wp14:editId="428399CF">
            <wp:extent cx="5731510" cy="114630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1146302"/>
                    </a:xfrm>
                    <a:prstGeom prst="rect">
                      <a:avLst/>
                    </a:prstGeom>
                  </pic:spPr>
                </pic:pic>
              </a:graphicData>
            </a:graphic>
          </wp:inline>
        </w:drawing>
      </w:r>
    </w:p>
    <w:p w:rsidR="00DE37FA" w:rsidRDefault="00DE37FA">
      <w:r>
        <w:rPr>
          <w:noProof/>
          <w:lang w:eastAsia="en-GB"/>
        </w:rPr>
        <w:lastRenderedPageBreak/>
        <w:drawing>
          <wp:inline distT="0" distB="0" distL="0" distR="0" wp14:anchorId="378F54B2" wp14:editId="72AAAB82">
            <wp:extent cx="5731510" cy="2299952"/>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2299952"/>
                    </a:xfrm>
                    <a:prstGeom prst="rect">
                      <a:avLst/>
                    </a:prstGeom>
                  </pic:spPr>
                </pic:pic>
              </a:graphicData>
            </a:graphic>
          </wp:inline>
        </w:drawing>
      </w:r>
    </w:p>
    <w:p w:rsidR="00DE37FA" w:rsidRDefault="00DE37FA">
      <w:r>
        <w:rPr>
          <w:noProof/>
          <w:lang w:eastAsia="en-GB"/>
        </w:rPr>
        <w:drawing>
          <wp:inline distT="0" distB="0" distL="0" distR="0" wp14:anchorId="63BF9234" wp14:editId="57FACCB2">
            <wp:extent cx="5731510" cy="1442063"/>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1442063"/>
                    </a:xfrm>
                    <a:prstGeom prst="rect">
                      <a:avLst/>
                    </a:prstGeom>
                  </pic:spPr>
                </pic:pic>
              </a:graphicData>
            </a:graphic>
          </wp:inline>
        </w:drawing>
      </w:r>
    </w:p>
    <w:p w:rsidR="00EB27DC" w:rsidRDefault="00EB27DC">
      <w:r>
        <w:t>Sussex Local Nature Partnership Oct 2019</w:t>
      </w:r>
      <w:hyperlink r:id="rId20" w:history="1">
        <w:r w:rsidRPr="006A160A">
          <w:rPr>
            <w:rStyle w:val="Hyperlink"/>
          </w:rPr>
          <w:t>http://sussexlnp.org.uk/wp-content/uploads/2019/12/Natural-Capital-Investment-Strategy_ADOPTED_Final_Dec2019.pdf</w:t>
        </w:r>
      </w:hyperlink>
    </w:p>
    <w:p w:rsidR="00781192" w:rsidRDefault="00781192">
      <w:r>
        <w:br w:type="page"/>
      </w:r>
    </w:p>
    <w:p w:rsidR="00EB27DC" w:rsidRDefault="00EB27DC"/>
    <w:p w:rsidR="00781192" w:rsidRDefault="00781192">
      <w:r>
        <w:t xml:space="preserve">Re loss of valued areas for recreation </w:t>
      </w:r>
    </w:p>
    <w:p w:rsidR="00781192" w:rsidRDefault="00781192">
      <w:r>
        <w:rPr>
          <w:noProof/>
          <w:lang w:eastAsia="en-GB"/>
        </w:rPr>
        <w:drawing>
          <wp:inline distT="0" distB="0" distL="0" distR="0" wp14:anchorId="64C02952" wp14:editId="3E0D98E5">
            <wp:extent cx="5731510" cy="3801412"/>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3801412"/>
                    </a:xfrm>
                    <a:prstGeom prst="rect">
                      <a:avLst/>
                    </a:prstGeom>
                  </pic:spPr>
                </pic:pic>
              </a:graphicData>
            </a:graphic>
          </wp:inline>
        </w:drawing>
      </w:r>
    </w:p>
    <w:sectPr w:rsidR="007811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7C2" w:rsidRDefault="00E927C2" w:rsidP="004C23A5">
      <w:pPr>
        <w:spacing w:after="0" w:line="240" w:lineRule="auto"/>
      </w:pPr>
      <w:r>
        <w:separator/>
      </w:r>
    </w:p>
  </w:endnote>
  <w:endnote w:type="continuationSeparator" w:id="0">
    <w:p w:rsidR="00E927C2" w:rsidRDefault="00E927C2" w:rsidP="004C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7C2" w:rsidRDefault="00E927C2" w:rsidP="004C23A5">
      <w:pPr>
        <w:spacing w:after="0" w:line="240" w:lineRule="auto"/>
      </w:pPr>
      <w:r>
        <w:separator/>
      </w:r>
    </w:p>
  </w:footnote>
  <w:footnote w:type="continuationSeparator" w:id="0">
    <w:p w:rsidR="00E927C2" w:rsidRDefault="00E927C2" w:rsidP="004C23A5">
      <w:pPr>
        <w:spacing w:after="0" w:line="240" w:lineRule="auto"/>
      </w:pPr>
      <w:r>
        <w:continuationSeparator/>
      </w:r>
    </w:p>
  </w:footnote>
  <w:footnote w:id="1">
    <w:p w:rsidR="004C23A5" w:rsidRPr="00691862" w:rsidRDefault="004C23A5" w:rsidP="004C23A5">
      <w:pPr>
        <w:spacing w:line="240" w:lineRule="auto"/>
        <w:contextualSpacing/>
        <w:rPr>
          <w:rFonts w:ascii="Arial" w:hAnsi="Arial" w:cs="Arial"/>
        </w:rPr>
      </w:pPr>
      <w:r>
        <w:rPr>
          <w:rStyle w:val="FootnoteReference"/>
        </w:rPr>
        <w:footnoteRef/>
      </w:r>
      <w:r>
        <w:t xml:space="preserve"> </w:t>
      </w:r>
      <w:r w:rsidRPr="00691862">
        <w:rPr>
          <w:rFonts w:ascii="Arial" w:hAnsi="Arial" w:cs="Arial"/>
        </w:rPr>
        <w:t>East Sussex County Council, 2020. Is in two parts i) ‘The Environment Strategy’, dated March 2020 (16pp) and ‘The Technical Append</w:t>
      </w:r>
      <w:r w:rsidR="00EE4FBF" w:rsidRPr="00691862">
        <w:rPr>
          <w:rFonts w:ascii="Arial" w:hAnsi="Arial" w:cs="Arial"/>
        </w:rPr>
        <w:t>ix to the Environment Strategy’</w:t>
      </w:r>
      <w:r w:rsidRPr="00691862">
        <w:rPr>
          <w:rFonts w:ascii="Arial" w:hAnsi="Arial" w:cs="Arial"/>
        </w:rPr>
        <w:t>, dated June 2020 (38pp).</w:t>
      </w:r>
    </w:p>
    <w:p w:rsidR="004C23A5" w:rsidRPr="00691862" w:rsidRDefault="004C23A5" w:rsidP="004C23A5">
      <w:pPr>
        <w:spacing w:line="240" w:lineRule="auto"/>
        <w:contextualSpacing/>
        <w:rPr>
          <w:rFonts w:ascii="Arial" w:hAnsi="Arial" w:cs="Arial"/>
        </w:rPr>
      </w:pPr>
      <w:hyperlink r:id="rId1" w:history="1">
        <w:r w:rsidRPr="00691862">
          <w:rPr>
            <w:rStyle w:val="Hyperlink"/>
            <w:rFonts w:ascii="Arial" w:hAnsi="Arial" w:cs="Arial"/>
          </w:rPr>
          <w:t>https://www.eastsussex.gov.uk/media/15587/east-sussex-environment-strategy-2020.pdf</w:t>
        </w:r>
      </w:hyperlink>
    </w:p>
    <w:p w:rsidR="004C23A5" w:rsidRPr="00691862" w:rsidRDefault="00EE4FBF" w:rsidP="004C23A5">
      <w:pPr>
        <w:rPr>
          <w:rFonts w:ascii="Arial" w:hAnsi="Arial" w:cs="Arial"/>
        </w:rPr>
      </w:pPr>
      <w:hyperlink r:id="rId2" w:history="1">
        <w:r w:rsidRPr="00691862">
          <w:rPr>
            <w:rStyle w:val="Hyperlink"/>
            <w:rFonts w:ascii="Arial" w:hAnsi="Arial" w:cs="Arial"/>
          </w:rPr>
          <w:t xml:space="preserve">https://www.eastsussex.gov.uk/media/15589/east-sussex-environment-strategy-2020-technical-appendix.pdf </w:t>
        </w:r>
      </w:hyperlink>
      <w:r w:rsidRPr="00691862">
        <w:rPr>
          <w:rFonts w:ascii="Arial" w:hAnsi="Arial" w:cs="Arial"/>
        </w:rPr>
        <w:t xml:space="preserve"> (accessed 01 December 2020). </w:t>
      </w:r>
    </w:p>
    <w:p w:rsidR="004C23A5" w:rsidRDefault="004C23A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FA"/>
    <w:rsid w:val="000B643C"/>
    <w:rsid w:val="0015071E"/>
    <w:rsid w:val="00196BAD"/>
    <w:rsid w:val="001A5F4D"/>
    <w:rsid w:val="002B2EFB"/>
    <w:rsid w:val="002C7A12"/>
    <w:rsid w:val="004C23A5"/>
    <w:rsid w:val="00691862"/>
    <w:rsid w:val="00781192"/>
    <w:rsid w:val="007B6740"/>
    <w:rsid w:val="009E706E"/>
    <w:rsid w:val="00AC53B8"/>
    <w:rsid w:val="00AC63CB"/>
    <w:rsid w:val="00B15832"/>
    <w:rsid w:val="00D455AE"/>
    <w:rsid w:val="00DE37FA"/>
    <w:rsid w:val="00E927C2"/>
    <w:rsid w:val="00EB27DC"/>
    <w:rsid w:val="00EE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7FA"/>
    <w:rPr>
      <w:color w:val="0000FF" w:themeColor="hyperlink"/>
      <w:u w:val="single"/>
    </w:rPr>
  </w:style>
  <w:style w:type="paragraph" w:styleId="BalloonText">
    <w:name w:val="Balloon Text"/>
    <w:basedOn w:val="Normal"/>
    <w:link w:val="BalloonTextChar"/>
    <w:uiPriority w:val="99"/>
    <w:semiHidden/>
    <w:unhideWhenUsed/>
    <w:rsid w:val="00DE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7FA"/>
    <w:rPr>
      <w:rFonts w:ascii="Tahoma" w:hAnsi="Tahoma" w:cs="Tahoma"/>
      <w:sz w:val="16"/>
      <w:szCs w:val="16"/>
    </w:rPr>
  </w:style>
  <w:style w:type="paragraph" w:styleId="FootnoteText">
    <w:name w:val="footnote text"/>
    <w:basedOn w:val="Normal"/>
    <w:link w:val="FootnoteTextChar"/>
    <w:uiPriority w:val="99"/>
    <w:semiHidden/>
    <w:unhideWhenUsed/>
    <w:rsid w:val="004C2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3A5"/>
    <w:rPr>
      <w:sz w:val="20"/>
      <w:szCs w:val="20"/>
    </w:rPr>
  </w:style>
  <w:style w:type="character" w:styleId="FootnoteReference">
    <w:name w:val="footnote reference"/>
    <w:basedOn w:val="DefaultParagraphFont"/>
    <w:uiPriority w:val="99"/>
    <w:semiHidden/>
    <w:unhideWhenUsed/>
    <w:rsid w:val="004C23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7FA"/>
    <w:rPr>
      <w:color w:val="0000FF" w:themeColor="hyperlink"/>
      <w:u w:val="single"/>
    </w:rPr>
  </w:style>
  <w:style w:type="paragraph" w:styleId="BalloonText">
    <w:name w:val="Balloon Text"/>
    <w:basedOn w:val="Normal"/>
    <w:link w:val="BalloonTextChar"/>
    <w:uiPriority w:val="99"/>
    <w:semiHidden/>
    <w:unhideWhenUsed/>
    <w:rsid w:val="00DE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7FA"/>
    <w:rPr>
      <w:rFonts w:ascii="Tahoma" w:hAnsi="Tahoma" w:cs="Tahoma"/>
      <w:sz w:val="16"/>
      <w:szCs w:val="16"/>
    </w:rPr>
  </w:style>
  <w:style w:type="paragraph" w:styleId="FootnoteText">
    <w:name w:val="footnote text"/>
    <w:basedOn w:val="Normal"/>
    <w:link w:val="FootnoteTextChar"/>
    <w:uiPriority w:val="99"/>
    <w:semiHidden/>
    <w:unhideWhenUsed/>
    <w:rsid w:val="004C2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3A5"/>
    <w:rPr>
      <w:sz w:val="20"/>
      <w:szCs w:val="20"/>
    </w:rPr>
  </w:style>
  <w:style w:type="character" w:styleId="FootnoteReference">
    <w:name w:val="footnote reference"/>
    <w:basedOn w:val="DefaultParagraphFont"/>
    <w:uiPriority w:val="99"/>
    <w:semiHidden/>
    <w:unhideWhenUsed/>
    <w:rsid w:val="004C23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ussexlnp.org.uk/wp-content/uploads/2019/12/Natural-Capital-Investment-Strategy_ADOPTED_Final_Dec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sussexlnp.org.uk/wp-content/uploads/2019/12/Natural-Capital-Investment-Strategy_ADOPTED_Final_Dec2019.pdf"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astsussex.gov.uk/media/15589/east-sussex-environment-strategy-2020-technical-appendix.pdf%20D" TargetMode="External"/><Relationship Id="rId1" Type="http://schemas.openxmlformats.org/officeDocument/2006/relationships/hyperlink" Target="https://www.eastsussex.gov.uk/media/15587/east-sussex-environment-strategy-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46F89-7471-4BE0-BB91-F51DD325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2020-12-02T12:26:00Z</dcterms:created>
  <dcterms:modified xsi:type="dcterms:W3CDTF">2020-12-02T12:26:00Z</dcterms:modified>
</cp:coreProperties>
</file>